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thinThickSmallGap" w:color="7E7E7E" w:themeColor="text1" w:themeTint="80" w:sz="12" w:space="0"/>
          <w:left w:val="thinThickSmallGap" w:color="7E7E7E" w:themeColor="text1" w:themeTint="80" w:sz="12" w:space="0"/>
          <w:bottom w:val="thickThinSmallGap" w:color="7E7E7E" w:themeColor="text1" w:themeTint="80" w:sz="12" w:space="0"/>
          <w:right w:val="thickThinSmallGap" w:color="7E7E7E" w:themeColor="text1" w:themeTint="80" w:sz="12" w:space="0"/>
          <w:insideH w:val="dotted" w:color="7E7E7E" w:themeColor="text1" w:themeTint="80" w:sz="2" w:space="0"/>
          <w:insideV w:val="dotted" w:color="7E7E7E" w:themeColor="text1" w:themeTint="8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2085"/>
        <w:gridCol w:w="3371"/>
      </w:tblGrid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Beneficiary Institution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highlight w:val="green"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write your institution’s name.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restart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Contact Information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highlight w:val="green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Please write the contact details of responsible person 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>who will be assigned from your institution</w:t>
            </w:r>
            <w:r>
              <w:rPr>
                <w:iCs/>
                <w:highlight w:val="green"/>
                <w:lang w:val="en-GB"/>
              </w:rPr>
              <w:t xml:space="preserve"> 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>to follow-up this study visit.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Name 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Email Address 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Telephone Number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Mobile Number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Visit Provider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To be determined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Visit Theme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write the study visit theme.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Study Visit Venue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To be determined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 xml:space="preserve"> (City, Country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lang w:val="en-GB"/>
              </w:rPr>
              <w:t>)</w:t>
            </w:r>
            <w:r>
              <w:rPr>
                <w:rFonts w:ascii="Courier New" w:hAnsi="Courier New" w:cs="Courier New"/>
                <w:iCs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Proposed Start Date for Study Visit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Please give at least two alternative start-end dates which are convenient for your organisation to have the study visit</w:t>
            </w:r>
            <w:r>
              <w:rPr>
                <w:rFonts w:ascii="Courier New" w:hAnsi="Courier New" w:cs="Courier New"/>
                <w:color w:val="7F7F7F"/>
                <w:sz w:val="18"/>
                <w:szCs w:val="18"/>
                <w:lang w:val="en-GB"/>
              </w:rPr>
              <w:t>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Duration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i/>
                <w:lang w:val="en-GB"/>
              </w:rPr>
              <w:t>2 or 3 days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Background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give a background on the reasons why your institution is in need of the study visit theme stated above.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Specific Objectives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Please use this field to provide a clear, concise statement of the specific objectives of your institution for which the study visit is expected to be instrumental in achieving them. You can use as much as space 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Expected Study Visit Coverage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Please use this field to state what kind of topics your institution expects to be covered during the 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study visit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Expected Study Visit Outputs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define the outputs expected from the study visit.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lang w:val="en-GB"/>
              </w:rPr>
              <w:t>Number of Participants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Please write the number of participants who will participate in the Study Visit </w:t>
            </w:r>
            <w:r>
              <w:rPr>
                <w:rFonts w:ascii="Courier New" w:hAnsi="Courier New" w:cs="Courier New"/>
                <w:color w:val="000000" w:themeColor="text1"/>
                <w:sz w:val="18"/>
                <w:lang w:val="en-GB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Courier New" w:hAnsi="Courier New" w:cs="Courier New"/>
                <w:i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  <w:t>maximum 4 participants</w:t>
            </w:r>
            <w:r>
              <w:rPr>
                <w:rFonts w:ascii="Courier New" w:hAnsi="Courier New" w:cs="Courier New"/>
                <w:color w:val="000000" w:themeColor="text1"/>
                <w:sz w:val="18"/>
                <w:lang w:val="en-GB"/>
                <w14:textFill>
                  <w14:solidFill>
                    <w14:schemeClr w14:val="tx1"/>
                  </w14:solidFill>
                </w14:textFill>
              </w:rPr>
              <w:t>).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lang w:val="en-GB"/>
              </w:rPr>
              <w:t>Profile of the Participants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describe the profile of the participants (Position, Level of Education and Working area).</w:t>
            </w:r>
          </w:p>
        </w:tc>
      </w:tr>
    </w:tbl>
    <w:p>
      <w:pPr>
        <w:rPr>
          <w:b/>
          <w:lang w:val="en-GB"/>
        </w:rPr>
      </w:pPr>
      <w:r>
        <w:rPr>
          <w:rFonts w:ascii="Courier New" w:hAnsi="Courier New" w:cs="Courier New"/>
          <w:b/>
          <w:color w:val="808080" w:themeColor="text1" w:themeTint="80"/>
          <w:sz w:val="18"/>
          <w:highlight w:val="yellow"/>
          <w:lang w:val="en-GB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Note: The yellow shaded text can be erased after the completion of required fields.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552" w:right="1418" w:bottom="1418" w:left="1418" w:header="432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2452280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lang w:val="en-US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30" name="Flowchart: Decision 30" descr="Light horizontal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id="_x0000_s1026" o:spid="_x0000_s1026" o:spt="110" alt="Light horizontal" type="#_x0000_t110" style="flip:y;height:3.55pt;width:430.5pt;" fillcolor="#000000" filled="t" stroked="f" coordsize="21600,21600" o:gfxdata="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PeyHLUAAAAAwEAAA8AAAAAAAAAAQAgAAAAIgAAAGRycy9kb3ducmV2LnhtbFBLAQIU&#10;ABQAAAAIAIdO4kAMI09gMAIAAGEEAAAOAAAAAAAAAAEAIAAAACMBAABkcnMvZTJvRG9jLnhtbFBL&#10;BQYAAAAABgAGAFkBAADFBQAAAAA=&#10;">
                  <v:fill type="pattern" on="t" color2="#FFFFFF" focussize="0,0" r:id="rId1"/>
                  <v:stroke on="f"/>
                  <v:imagedata o:title=""/>
                  <o:lock v:ext="edit" aspectratio="f"/>
                  <w10:wrap type="none"/>
                  <w10:anchorlock/>
                </v:shape>
              </w:pict>
            </mc:Fallback>
          </mc:AlternateContent>
        </w:r>
      </w:p>
      <w:p>
        <w:pPr>
          <w:pStyle w:val="4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722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21"/>
      <w:gridCol w:w="9213"/>
      <w:gridCol w:w="114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6" w:hRule="atLeast"/>
      </w:trPr>
      <w:tc>
        <w:tcPr>
          <w:tcW w:w="10" w:type="pct"/>
        </w:tcPr>
        <w:p>
          <w:pPr>
            <w:pStyle w:val="5"/>
            <w:spacing w:before="0" w:after="0" w:line="240" w:lineRule="auto"/>
            <w:jc w:val="left"/>
          </w:pPr>
        </w:p>
      </w:tc>
      <w:tc>
        <w:tcPr>
          <w:tcW w:w="4438" w:type="pct"/>
        </w:tcPr>
        <w:p>
          <w:pPr>
            <w:pStyle w:val="5"/>
            <w:spacing w:before="0" w:after="0"/>
            <w:jc w:val="center"/>
            <w:rPr>
              <w:b/>
              <w:color w:val="1F497D" w:themeColor="text2"/>
              <w:sz w:val="56"/>
              <w14:textFill>
                <w14:solidFill>
                  <w14:schemeClr w14:val="tx2"/>
                </w14:solidFill>
              </w14:textFill>
            </w:rPr>
          </w:pPr>
          <w:r>
            <w:rPr>
              <w:lang w:val="en-US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0</wp:posOffset>
                </wp:positionV>
                <wp:extent cx="586105" cy="638175"/>
                <wp:effectExtent l="0" t="0" r="4445" b="0"/>
                <wp:wrapThrough wrapText="bothSides">
                  <wp:wrapPolygon>
                    <wp:start x="0" y="0"/>
                    <wp:lineTo x="0" y="20633"/>
                    <wp:lineTo x="21062" y="20633"/>
                    <wp:lineTo x="21062" y="0"/>
                    <wp:lineTo x="0" y="0"/>
                  </wp:wrapPolygon>
                </wp:wrapThrough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96" cy="640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>
          <w:pPr>
            <w:pStyle w:val="5"/>
            <w:spacing w:before="0" w:after="0"/>
            <w:rPr>
              <w:b/>
              <w:bCs/>
              <w:color w:val="1F497D" w:themeColor="text2"/>
              <w:sz w:val="27"/>
              <w:szCs w:val="27"/>
              <w:highlight w:val="green"/>
              <w:shd w:val="clear" w:color="auto" w:fill="FFFFFF"/>
              <w14:textFill>
                <w14:solidFill>
                  <w14:schemeClr w14:val="tx2"/>
                </w14:solidFill>
              </w14:textFill>
            </w:rPr>
          </w:pPr>
        </w:p>
        <w:p>
          <w:pPr>
            <w:pStyle w:val="5"/>
            <w:spacing w:before="0" w:after="0"/>
            <w:jc w:val="center"/>
            <w:rPr>
              <w:b/>
              <w:bCs/>
              <w:sz w:val="28"/>
              <w:szCs w:val="28"/>
              <w:lang w:val="en-US"/>
            </w:rPr>
          </w:pPr>
          <w:r>
            <w:t xml:space="preserve"> </w:t>
          </w:r>
          <w:r>
            <w:rPr>
              <w:b/>
              <w:bCs/>
              <w:sz w:val="28"/>
              <w:szCs w:val="28"/>
              <w:lang w:val="en-US"/>
            </w:rPr>
            <w:t>SESRIC</w:t>
          </w:r>
          <w:r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  <w:lang w:val="en-US"/>
            </w:rPr>
            <w:t>Capacity Building Programme</w:t>
          </w:r>
        </w:p>
        <w:p>
          <w:pPr>
            <w:pStyle w:val="5"/>
            <w:spacing w:before="0" w:after="0"/>
            <w:jc w:val="center"/>
            <w:rPr>
              <w:lang w:val="en-US"/>
            </w:rPr>
          </w:pPr>
          <w:r>
            <w:rPr>
              <w:lang w:val="en-US"/>
            </w:rPr>
            <w:t>Stock Exchanges Capacity Building Programme (SE</w:t>
          </w:r>
          <w:bookmarkStart w:id="0" w:name="_GoBack"/>
          <w:bookmarkEnd w:id="0"/>
          <w:r>
            <w:rPr>
              <w:lang w:val="en-US"/>
            </w:rPr>
            <w:t>-CaB)</w:t>
          </w:r>
        </w:p>
        <w:p>
          <w:pPr>
            <w:pStyle w:val="5"/>
            <w:spacing w:before="0" w:after="0"/>
            <w:jc w:val="center"/>
            <w:rPr>
              <w:b/>
              <w:color w:val="808080" w:themeColor="text1" w:themeTint="80"/>
              <w:sz w:val="40"/>
              <w:szCs w:val="14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</w:pPr>
          <w:r>
            <w:rPr>
              <w:b/>
              <w:color w:val="808080" w:themeColor="text1" w:themeTint="80"/>
              <w:sz w:val="40"/>
              <w:szCs w:val="14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TERMS OF REFERENCE</w:t>
          </w:r>
        </w:p>
      </w:tc>
      <w:tc>
        <w:tcPr>
          <w:tcW w:w="553" w:type="pct"/>
        </w:tcPr>
        <w:p>
          <w:pPr>
            <w:pStyle w:val="5"/>
            <w:spacing w:before="0" w:after="0" w:line="240" w:lineRule="auto"/>
            <w:jc w:val="right"/>
          </w:pPr>
        </w:p>
        <w:p>
          <w:pPr>
            <w:tabs>
              <w:tab w:val="left" w:pos="636"/>
            </w:tabs>
          </w:pPr>
          <w:r>
            <w:tab/>
          </w:r>
        </w:p>
      </w:tc>
    </w:tr>
  </w:tbl>
  <w:p>
    <w:pPr>
      <w:pStyle w:val="14"/>
      <w:rPr>
        <w:sz w:val="2"/>
      </w:rPr>
    </w:pPr>
    <w:r>
      <w:rPr>
        <w:lang w:val="en-US"/>
      </w:rPr>
      <mc:AlternateContent>
        <mc:Choice Requires="wps">
          <w:drawing>
            <wp:inline distT="0" distB="0" distL="0" distR="0">
              <wp:extent cx="5848350" cy="45085"/>
              <wp:effectExtent l="0" t="0" r="0" b="0"/>
              <wp:docPr id="31" name="Flowchart: Decision 31" descr="Light horizont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8597" cy="45719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110" alt="Light horizontal" type="#_x0000_t110" style="height:3.55pt;width:460.5pt;" fillcolor="#000000" filled="t" stroked="f" coordsize="21600,21600" o:gfxdata="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Kbk&#10;8NAAAAADAQAADwAAAAAAAAABACAAAAAiAAAAZHJzL2Rvd25yZXYueG1sUEsBAhQAFAAAAAgAh07i&#10;QDqzLWUqAgAAVwQAAA4AAAAAAAAAAQAgAAAAHwEAAGRycy9lMm9Eb2MueG1sUEsFBgAAAAAGAAYA&#10;WQEAALsFAAAAAA==&#10;">
              <v:fill type="pattern" on="t" color2="#FFFFFF" focussize="0,0" r:id="rId2"/>
              <v:stroke on="f"/>
              <v:imagedata o:title=""/>
              <o:lock v:ext="edit" aspectratio="f"/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C3"/>
    <w:rsid w:val="000022DC"/>
    <w:rsid w:val="00017F10"/>
    <w:rsid w:val="00022A1A"/>
    <w:rsid w:val="00037F35"/>
    <w:rsid w:val="0008548F"/>
    <w:rsid w:val="00094E4E"/>
    <w:rsid w:val="000C4002"/>
    <w:rsid w:val="000C6EC4"/>
    <w:rsid w:val="000E38DB"/>
    <w:rsid w:val="00106D5A"/>
    <w:rsid w:val="0018715F"/>
    <w:rsid w:val="00193677"/>
    <w:rsid w:val="001A6A9C"/>
    <w:rsid w:val="001D0147"/>
    <w:rsid w:val="002275A0"/>
    <w:rsid w:val="002471D7"/>
    <w:rsid w:val="00260989"/>
    <w:rsid w:val="00270ADD"/>
    <w:rsid w:val="00286319"/>
    <w:rsid w:val="0029693B"/>
    <w:rsid w:val="002A4925"/>
    <w:rsid w:val="002D1ED9"/>
    <w:rsid w:val="00316A54"/>
    <w:rsid w:val="003258AE"/>
    <w:rsid w:val="00397B1E"/>
    <w:rsid w:val="003B2738"/>
    <w:rsid w:val="004228F7"/>
    <w:rsid w:val="00437921"/>
    <w:rsid w:val="004712C0"/>
    <w:rsid w:val="0048768F"/>
    <w:rsid w:val="0049791C"/>
    <w:rsid w:val="004C0D5F"/>
    <w:rsid w:val="00502DF9"/>
    <w:rsid w:val="00536B45"/>
    <w:rsid w:val="00563279"/>
    <w:rsid w:val="0056638E"/>
    <w:rsid w:val="00592CA0"/>
    <w:rsid w:val="00595C58"/>
    <w:rsid w:val="005A0AE5"/>
    <w:rsid w:val="0063012B"/>
    <w:rsid w:val="00657755"/>
    <w:rsid w:val="006664CC"/>
    <w:rsid w:val="00672C15"/>
    <w:rsid w:val="0068462F"/>
    <w:rsid w:val="0069318A"/>
    <w:rsid w:val="006D04E0"/>
    <w:rsid w:val="006D540A"/>
    <w:rsid w:val="007117D8"/>
    <w:rsid w:val="00726715"/>
    <w:rsid w:val="00737043"/>
    <w:rsid w:val="0074512C"/>
    <w:rsid w:val="007905B1"/>
    <w:rsid w:val="00793FCB"/>
    <w:rsid w:val="00794CEE"/>
    <w:rsid w:val="007962A7"/>
    <w:rsid w:val="00800371"/>
    <w:rsid w:val="00804020"/>
    <w:rsid w:val="0081071D"/>
    <w:rsid w:val="008109D9"/>
    <w:rsid w:val="00815B1A"/>
    <w:rsid w:val="0083434E"/>
    <w:rsid w:val="00834D8D"/>
    <w:rsid w:val="00873900"/>
    <w:rsid w:val="008B419B"/>
    <w:rsid w:val="008E2835"/>
    <w:rsid w:val="008F0EEE"/>
    <w:rsid w:val="00906DD2"/>
    <w:rsid w:val="009974CA"/>
    <w:rsid w:val="009C0F68"/>
    <w:rsid w:val="009C4294"/>
    <w:rsid w:val="00A149AC"/>
    <w:rsid w:val="00A4353C"/>
    <w:rsid w:val="00A8393B"/>
    <w:rsid w:val="00B65BBD"/>
    <w:rsid w:val="00B74F55"/>
    <w:rsid w:val="00B7781A"/>
    <w:rsid w:val="00BC6F78"/>
    <w:rsid w:val="00BD106D"/>
    <w:rsid w:val="00BD245D"/>
    <w:rsid w:val="00C3390B"/>
    <w:rsid w:val="00C5267D"/>
    <w:rsid w:val="00C57BC3"/>
    <w:rsid w:val="00C62E82"/>
    <w:rsid w:val="00C7278B"/>
    <w:rsid w:val="00C76115"/>
    <w:rsid w:val="00C83AF4"/>
    <w:rsid w:val="00CB1B3C"/>
    <w:rsid w:val="00CB4302"/>
    <w:rsid w:val="00CB6F58"/>
    <w:rsid w:val="00CD10B4"/>
    <w:rsid w:val="00D06C50"/>
    <w:rsid w:val="00D1339F"/>
    <w:rsid w:val="00D14AD8"/>
    <w:rsid w:val="00D248F7"/>
    <w:rsid w:val="00D30304"/>
    <w:rsid w:val="00D3099E"/>
    <w:rsid w:val="00D41317"/>
    <w:rsid w:val="00D65887"/>
    <w:rsid w:val="00D92298"/>
    <w:rsid w:val="00D94CEC"/>
    <w:rsid w:val="00DC032F"/>
    <w:rsid w:val="00DE16D0"/>
    <w:rsid w:val="00E0726A"/>
    <w:rsid w:val="00E448D9"/>
    <w:rsid w:val="00E5115C"/>
    <w:rsid w:val="00E56201"/>
    <w:rsid w:val="00EE1B7B"/>
    <w:rsid w:val="00EF44FF"/>
    <w:rsid w:val="00F11BAD"/>
    <w:rsid w:val="00F14635"/>
    <w:rsid w:val="00F1798B"/>
    <w:rsid w:val="00F62319"/>
    <w:rsid w:val="00F80A19"/>
    <w:rsid w:val="00FC226B"/>
    <w:rsid w:val="00FC7DFD"/>
    <w:rsid w:val="00FE1CC3"/>
    <w:rsid w:val="00FF1CEF"/>
    <w:rsid w:val="47EB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300" w:lineRule="auto"/>
      <w:jc w:val="both"/>
    </w:pPr>
    <w:rPr>
      <w:rFonts w:ascii="Times New Roman" w:hAnsi="Times New Roman" w:eastAsia="Calibri" w:cs="Times New Roman"/>
      <w:sz w:val="24"/>
      <w:szCs w:val="22"/>
      <w:lang w:val="tr-TR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link w:val="2"/>
    <w:uiPriority w:val="9"/>
    <w:rPr>
      <w:rFonts w:ascii="Times New Roman" w:hAnsi="Times New Roman" w:eastAsia="Times New Roman" w:cs="Times New Roman"/>
      <w:b/>
      <w:bCs/>
      <w:kern w:val="32"/>
      <w:sz w:val="28"/>
      <w:szCs w:val="32"/>
      <w:lang w:val="tr-TR"/>
    </w:rPr>
  </w:style>
  <w:style w:type="character" w:customStyle="1" w:styleId="10">
    <w:name w:val="Footer Char"/>
    <w:link w:val="4"/>
    <w:uiPriority w:val="99"/>
    <w:rPr>
      <w:rFonts w:ascii="Times New Roman" w:hAnsi="Times New Roman" w:eastAsia="Calibri" w:cs="Times New Roman"/>
      <w:sz w:val="24"/>
      <w:lang w:val="tr-TR"/>
    </w:rPr>
  </w:style>
  <w:style w:type="paragraph" w:customStyle="1" w:styleId="11">
    <w:name w:val="Application3"/>
    <w:basedOn w:val="1"/>
    <w:uiPriority w:val="0"/>
    <w:pPr>
      <w:widowControl w:val="0"/>
      <w:suppressAutoHyphens/>
    </w:pPr>
    <w:rPr>
      <w:rFonts w:eastAsia="Times New Roman"/>
      <w:snapToGrid w:val="0"/>
      <w:spacing w:val="-2"/>
      <w:sz w:val="22"/>
      <w:lang w:val="en-GB"/>
    </w:rPr>
  </w:style>
  <w:style w:type="character" w:customStyle="1" w:styleId="12">
    <w:name w:val="Header Char"/>
    <w:link w:val="5"/>
    <w:uiPriority w:val="99"/>
    <w:rPr>
      <w:rFonts w:ascii="Times New Roman" w:hAnsi="Times New Roman"/>
      <w:sz w:val="24"/>
      <w:szCs w:val="22"/>
      <w:lang w:val="tr-TR"/>
    </w:rPr>
  </w:style>
  <w:style w:type="character" w:customStyle="1" w:styleId="13">
    <w:name w:val="Balloon Text Char"/>
    <w:link w:val="3"/>
    <w:semiHidden/>
    <w:uiPriority w:val="99"/>
    <w:rPr>
      <w:rFonts w:ascii="Tahoma" w:hAnsi="Tahoma" w:cs="Tahoma"/>
      <w:sz w:val="16"/>
      <w:szCs w:val="16"/>
      <w:lang w:val="tr-TR"/>
    </w:rPr>
  </w:style>
  <w:style w:type="paragraph" w:styleId="14">
    <w:name w:val="No Spacing"/>
    <w:qFormat/>
    <w:uiPriority w:val="1"/>
    <w:pPr>
      <w:jc w:val="both"/>
    </w:pPr>
    <w:rPr>
      <w:rFonts w:ascii="Times New Roman" w:hAnsi="Times New Roman" w:eastAsia="Calibri" w:cs="Times New Roman"/>
      <w:sz w:val="24"/>
      <w:szCs w:val="22"/>
      <w:lang w:val="tr-TR" w:eastAsia="en-US" w:bidi="ar-SA"/>
    </w:rPr>
  </w:style>
  <w:style w:type="paragraph" w:customStyle="1" w:styleId="15">
    <w:name w:val="Revision"/>
    <w:hidden/>
    <w:semiHidden/>
    <w:uiPriority w:val="99"/>
    <w:rPr>
      <w:rFonts w:ascii="Times New Roman" w:hAnsi="Times New Roman" w:eastAsia="Calibri" w:cs="Times New Roman"/>
      <w:sz w:val="24"/>
      <w:szCs w:val="22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a\AppData\Local\Microsoft\Windows\Temporary%20Internet%20Files\Content.Outlook\7NWVJJVK\TOR_Form_Benefici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9864B0-60D3-44F0-80A4-F7693D93F7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TOR_Form_Beneficiary</Template>
  <Company>SESRIC</Company>
  <Pages>1</Pages>
  <Words>253</Words>
  <Characters>1444</Characters>
  <Lines>12</Lines>
  <Paragraphs>3</Paragraphs>
  <TotalTime>4</TotalTime>
  <ScaleCrop>false</ScaleCrop>
  <LinksUpToDate>false</LinksUpToDate>
  <CharactersWithSpaces>1694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2020-02-06T08:47:00Z</dcterms:created>
  <dc:creator>Alia Sharify</dc:creator>
  <cp:lastModifiedBy>Ahmet B. Arpa</cp:lastModifiedBy>
  <cp:lastPrinted>2020-01-23T07:23:00Z</cp:lastPrinted>
  <dcterms:modified xsi:type="dcterms:W3CDTF">2020-09-25T13:15:43Z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