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iCs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lang w:val="en-US"/>
            </w:rPr>
          </w:pPr>
          <w: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>Capacity Building Programme</w:t>
          </w:r>
        </w:p>
        <w:p>
          <w:pPr>
            <w:pStyle w:val="5"/>
            <w:spacing w:before="0"/>
            <w:jc w:val="center"/>
            <w:rPr>
              <w:lang w:val="en-US"/>
            </w:rPr>
          </w:pPr>
          <w:bookmarkStart w:id="0" w:name="_GoBack"/>
          <w:bookmarkEnd w:id="0"/>
          <w:r>
            <w:rPr>
              <w:lang w:val="en-US"/>
            </w:rPr>
            <w:t>Agricultural Capacity Building Programme (Agri</w:t>
          </w:r>
          <w:r>
            <w:rPr>
              <w:rFonts w:hint="default"/>
              <w:lang w:val="en-US"/>
            </w:rPr>
            <w:t>-</w:t>
          </w:r>
          <w:r>
            <w:rPr>
              <w:lang w:val="en-US"/>
            </w:rPr>
            <w:t>CaB)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5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  <w:rsid w:val="683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EEB27-3F90-4463-B1F2-18F13CCA1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1425</Characters>
  <Lines>11</Lines>
  <Paragraphs>3</Paragraphs>
  <TotalTime>123</TotalTime>
  <ScaleCrop>false</ScaleCrop>
  <LinksUpToDate>false</LinksUpToDate>
  <CharactersWithSpaces>1671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2020-09-25T13:00:01Z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